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74" w:line="276" w:lineRule="auto"/>
        <w:ind w:left="3510" w:firstLine="0"/>
        <w:rPr/>
      </w:pPr>
      <w:r w:rsidDel="00000000" w:rsidR="00000000" w:rsidRPr="00000000">
        <w:rPr>
          <w:rtl w:val="0"/>
        </w:rPr>
        <w:t xml:space="preserve">SANTA CRUZ: DIVISION OF STUDENT AFFAIRS AND SUCCESS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180" w:right="30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May 30, 2023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180" w:right="30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Heather Bullock</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Acting Dean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Division of Social Sciences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C">
      <w:pPr>
        <w:spacing w:line="276" w:lineRule="auto"/>
        <w:ind w:left="180" w:right="300" w:firstLine="0"/>
        <w:jc w:val="center"/>
        <w:rPr>
          <w:b w:val="1"/>
          <w:sz w:val="24"/>
          <w:szCs w:val="24"/>
        </w:rPr>
      </w:pPr>
      <w:r w:rsidDel="00000000" w:rsidR="00000000" w:rsidRPr="00000000">
        <w:rPr>
          <w:b w:val="1"/>
          <w:sz w:val="24"/>
          <w:szCs w:val="24"/>
          <w:u w:val="single"/>
          <w:rtl w:val="0"/>
        </w:rPr>
        <w:t xml:space="preserve">Re: 2022-2023 Student Fee Advisory Committee Funding Allocations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Dear Heather,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Fee Advisory Committee (SFAC) was charged with reviewing funding proposals for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allocation of Student Services Fees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 7 Student Programs Fee, and Equity in Mental Health Fees. The committee employed a data-driven approach using established criteria and metrics to review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proposals that were submitted by various campus community members. I am pleased to notify you that </w:t>
      </w:r>
      <w:r w:rsidDel="00000000" w:rsidR="00000000" w:rsidRPr="00000000">
        <w:rPr>
          <w:sz w:val="24"/>
          <w:szCs w:val="24"/>
          <w:rtl w:val="0"/>
        </w:rPr>
        <w:t xml:space="preserve">on behalf of SFAC, Vice Chancellor Akirah Bradley-Armstrong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approved the following one-time allocation to</w:t>
      </w:r>
      <w:r w:rsidDel="00000000" w:rsidR="00000000" w:rsidRPr="00000000">
        <w:rPr>
          <w:sz w:val="24"/>
          <w:szCs w:val="24"/>
          <w:rtl w:val="0"/>
        </w:rPr>
        <w:t xml:space="preserve"> your division,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the recommendations submitted by the SFAC.</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967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680"/>
        <w:gridCol w:w="1560"/>
        <w:gridCol w:w="1740"/>
        <w:gridCol w:w="2115"/>
        <w:gridCol w:w="1200"/>
        <w:gridCol w:w="1380"/>
        <w:tblGridChange w:id="0">
          <w:tblGrid>
            <w:gridCol w:w="1680"/>
            <w:gridCol w:w="1560"/>
            <w:gridCol w:w="1740"/>
            <w:gridCol w:w="2115"/>
            <w:gridCol w:w="1200"/>
            <w:gridCol w:w="1380"/>
          </w:tblGrid>
        </w:tblGridChange>
      </w:tblGrid>
      <w:tr>
        <w:trPr>
          <w:cantSplit w:val="0"/>
          <w:trHeight w:val="610" w:hRule="atLeast"/>
          <w:tblHeader w:val="0"/>
        </w:trPr>
        <w:tc>
          <w:tcPr>
            <w:shd w:fill="d9d9d9"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85" w:right="30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Division</w:t>
            </w:r>
          </w:p>
        </w:tc>
        <w:tc>
          <w:tcPr>
            <w:tcBorders>
              <w:bottom w:color="000000" w:space="0" w:sz="6" w:val="single"/>
            </w:tcBorders>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 Program</w:t>
            </w:r>
          </w:p>
        </w:tc>
        <w:tc>
          <w:tcPr>
            <w:tcBorders>
              <w:bottom w:color="000000" w:space="0" w:sz="6" w:val="single"/>
            </w:tcBorders>
            <w:shd w:fill="d9d9d9"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10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Author(s) of Proposal</w:t>
            </w:r>
          </w:p>
        </w:tc>
        <w:tc>
          <w:tcPr>
            <w:tcBorders>
              <w:bottom w:color="000000" w:space="0" w:sz="6" w:val="single"/>
            </w:tcBorders>
            <w:shd w:fill="d9d9d9"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00" w:right="1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c>
          <w:tcPr>
            <w:shd w:fill="d9d9d9"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hanging="2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 Source</w:t>
            </w:r>
          </w:p>
        </w:tc>
        <w:tc>
          <w:tcPr>
            <w:tcBorders>
              <w:bottom w:color="000000" w:space="0" w:sz="6" w:val="single"/>
            </w:tcBorders>
            <w:shd w:fill="d9d9d9"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383"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Amount</w:t>
            </w:r>
          </w:p>
        </w:tc>
      </w:tr>
      <w:tr>
        <w:trPr>
          <w:cantSplit w:val="0"/>
          <w:trHeight w:val="930" w:hRule="atLeast"/>
          <w:tblHeader w:val="0"/>
        </w:trPr>
        <w:tc>
          <w:tcPr>
            <w:tcBorders>
              <w:right w:color="000000" w:space="0" w:sz="6"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40" w:firstLine="0"/>
              <w:jc w:val="center"/>
              <w:rPr>
                <w:i w:val="0"/>
                <w:smallCaps w:val="0"/>
                <w:strike w:val="0"/>
                <w:sz w:val="24"/>
                <w:szCs w:val="24"/>
                <w:highlight w:val="white"/>
                <w:u w:val="none"/>
                <w:vertAlign w:val="baseline"/>
              </w:rPr>
            </w:pPr>
            <w:r w:rsidDel="00000000" w:rsidR="00000000" w:rsidRPr="00000000">
              <w:rPr>
                <w:sz w:val="24"/>
                <w:szCs w:val="24"/>
                <w:highlight w:val="white"/>
                <w:rtl w:val="0"/>
              </w:rPr>
              <w:t xml:space="preserve">Division of Social Sciences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C">
            <w:pPr>
              <w:rPr>
                <w:sz w:val="24"/>
                <w:szCs w:val="24"/>
                <w:highlight w:val="white"/>
              </w:rPr>
            </w:pPr>
            <w:r w:rsidDel="00000000" w:rsidR="00000000" w:rsidRPr="00000000">
              <w:rPr>
                <w:sz w:val="23"/>
                <w:szCs w:val="23"/>
                <w:highlight w:val="white"/>
                <w:rtl w:val="0"/>
              </w:rPr>
              <w:t xml:space="preserve">Right Livelihood College is housed at the Institute for Social Transformation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D">
            <w:pPr>
              <w:spacing w:line="276" w:lineRule="auto"/>
              <w:rPr>
                <w:sz w:val="24"/>
                <w:szCs w:val="24"/>
                <w:highlight w:val="white"/>
              </w:rPr>
            </w:pPr>
            <w:r w:rsidDel="00000000" w:rsidR="00000000" w:rsidRPr="00000000">
              <w:rPr>
                <w:sz w:val="23"/>
                <w:szCs w:val="23"/>
                <w:highlight w:val="white"/>
                <w:rtl w:val="0"/>
              </w:rPr>
              <w:t xml:space="preserve">Elena Losada, Dave Shaw, Fatima Hernandez Alatorre, Megan Deevy, Benjamin Scheer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E">
            <w:pPr>
              <w:spacing w:line="276" w:lineRule="auto"/>
              <w:rPr>
                <w:sz w:val="24"/>
                <w:szCs w:val="24"/>
                <w:highlight w:val="white"/>
              </w:rPr>
            </w:pPr>
            <w:r w:rsidDel="00000000" w:rsidR="00000000" w:rsidRPr="00000000">
              <w:rPr>
                <w:sz w:val="23"/>
                <w:szCs w:val="23"/>
                <w:highlight w:val="white"/>
                <w:rtl w:val="0"/>
              </w:rPr>
              <w:t xml:space="preserve">Connecting Activism and Academia: Right Livelihood at UC Santa Cruz (minimum for stipends and minimum for programming)</w:t>
            </w: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1F">
            <w:pPr>
              <w:spacing w:line="276" w:lineRule="auto"/>
              <w:ind w:hanging="29"/>
              <w:jc w:val="center"/>
              <w:rPr>
                <w:sz w:val="24"/>
                <w:szCs w:val="24"/>
                <w:highlight w:val="white"/>
              </w:rPr>
            </w:pPr>
            <w:r w:rsidDel="00000000" w:rsidR="00000000" w:rsidRPr="00000000">
              <w:rPr>
                <w:sz w:val="24"/>
                <w:szCs w:val="24"/>
                <w:highlight w:val="white"/>
                <w:rtl w:val="0"/>
              </w:rPr>
              <w:t xml:space="preserve">19986 (Equity in Mental Health)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0">
            <w:pPr>
              <w:spacing w:line="276" w:lineRule="auto"/>
              <w:jc w:val="center"/>
              <w:rPr>
                <w:sz w:val="24"/>
                <w:szCs w:val="24"/>
                <w:highlight w:val="white"/>
              </w:rPr>
            </w:pPr>
            <w:r w:rsidDel="00000000" w:rsidR="00000000" w:rsidRPr="00000000">
              <w:rPr>
                <w:sz w:val="24"/>
                <w:szCs w:val="24"/>
                <w:highlight w:val="white"/>
                <w:rtl w:val="0"/>
              </w:rPr>
              <w:t xml:space="preserve">$14,331.28</w:t>
            </w:r>
            <w:r w:rsidDel="00000000" w:rsidR="00000000" w:rsidRPr="00000000">
              <w:rPr>
                <w:rtl w:val="0"/>
              </w:rPr>
            </w:r>
          </w:p>
        </w:tc>
      </w:tr>
      <w:tr>
        <w:trPr>
          <w:cantSplit w:val="0"/>
          <w:trHeight w:val="930" w:hRule="atLeast"/>
          <w:tblHeader w:val="0"/>
        </w:trPr>
        <w:tc>
          <w:tcPr>
            <w:tcBorders>
              <w:right w:color="000000" w:space="0" w:sz="6" w:val="single"/>
            </w:tcBorders>
          </w:tcPr>
          <w:p w:rsidR="00000000" w:rsidDel="00000000" w:rsidP="00000000" w:rsidRDefault="00000000" w:rsidRPr="00000000" w14:paraId="00000021">
            <w:pPr>
              <w:spacing w:line="276" w:lineRule="auto"/>
              <w:ind w:right="140"/>
              <w:jc w:val="center"/>
              <w:rPr>
                <w:sz w:val="24"/>
                <w:szCs w:val="24"/>
                <w:highlight w:val="white"/>
              </w:rPr>
            </w:pPr>
            <w:r w:rsidDel="00000000" w:rsidR="00000000" w:rsidRPr="00000000">
              <w:rPr>
                <w:sz w:val="24"/>
                <w:szCs w:val="24"/>
                <w:highlight w:val="white"/>
                <w:rtl w:val="0"/>
              </w:rPr>
              <w:t xml:space="preserve">Division of Social Sciences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2">
            <w:pPr>
              <w:rPr>
                <w:sz w:val="24"/>
                <w:szCs w:val="24"/>
                <w:highlight w:val="white"/>
              </w:rPr>
            </w:pPr>
            <w:r w:rsidDel="00000000" w:rsidR="00000000" w:rsidRPr="00000000">
              <w:rPr>
                <w:sz w:val="23"/>
                <w:szCs w:val="23"/>
                <w:highlight w:val="white"/>
                <w:rtl w:val="0"/>
              </w:rPr>
              <w:t xml:space="preserve">Cowell Coffee Shop: For the Peoples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3">
            <w:pPr>
              <w:spacing w:line="276" w:lineRule="auto"/>
              <w:rPr>
                <w:sz w:val="24"/>
                <w:szCs w:val="24"/>
                <w:highlight w:val="white"/>
              </w:rPr>
            </w:pPr>
            <w:r w:rsidDel="00000000" w:rsidR="00000000" w:rsidRPr="00000000">
              <w:rPr>
                <w:sz w:val="23"/>
                <w:szCs w:val="23"/>
                <w:highlight w:val="white"/>
                <w:rtl w:val="0"/>
              </w:rPr>
              <w:t xml:space="preserve">Sage Hirsch, Nessa Fakrai, Vivian Gerstein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4">
            <w:pPr>
              <w:spacing w:line="276" w:lineRule="auto"/>
              <w:rPr>
                <w:sz w:val="24"/>
                <w:szCs w:val="24"/>
                <w:highlight w:val="white"/>
              </w:rPr>
            </w:pPr>
            <w:r w:rsidDel="00000000" w:rsidR="00000000" w:rsidRPr="00000000">
              <w:rPr>
                <w:sz w:val="23"/>
                <w:szCs w:val="23"/>
                <w:highlight w:val="white"/>
                <w:rtl w:val="0"/>
              </w:rPr>
              <w:t xml:space="preserve">Slow Food for Fast Slugs Initiative (4000 - mugs, napkins, bags, soup bowls, cutlery, clam shells)</w:t>
            </w: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25">
            <w:pPr>
              <w:spacing w:line="276" w:lineRule="auto"/>
              <w:ind w:hanging="29"/>
              <w:jc w:val="center"/>
              <w:rPr>
                <w:sz w:val="24"/>
                <w:szCs w:val="24"/>
                <w:highlight w:val="white"/>
              </w:rPr>
            </w:pPr>
            <w:r w:rsidDel="00000000" w:rsidR="00000000" w:rsidRPr="00000000">
              <w:rPr>
                <w:sz w:val="24"/>
                <w:szCs w:val="24"/>
                <w:highlight w:val="white"/>
                <w:rtl w:val="0"/>
              </w:rPr>
              <w:t xml:space="preserve">20360 </w:t>
            </w:r>
          </w:p>
          <w:p w:rsidR="00000000" w:rsidDel="00000000" w:rsidP="00000000" w:rsidRDefault="00000000" w:rsidRPr="00000000" w14:paraId="00000026">
            <w:pPr>
              <w:spacing w:line="276" w:lineRule="auto"/>
              <w:ind w:hanging="29"/>
              <w:jc w:val="center"/>
              <w:rPr>
                <w:sz w:val="24"/>
                <w:szCs w:val="24"/>
                <w:highlight w:val="white"/>
              </w:rPr>
            </w:pPr>
            <w:r w:rsidDel="00000000" w:rsidR="00000000" w:rsidRPr="00000000">
              <w:rPr>
                <w:sz w:val="24"/>
                <w:szCs w:val="24"/>
                <w:highlight w:val="white"/>
                <w:rtl w:val="0"/>
              </w:rPr>
              <w:t xml:space="preserve">(M7)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7">
            <w:pPr>
              <w:spacing w:line="276" w:lineRule="auto"/>
              <w:ind w:hanging="29"/>
              <w:jc w:val="center"/>
              <w:rPr>
                <w:b w:val="1"/>
                <w:sz w:val="24"/>
                <w:szCs w:val="24"/>
                <w:highlight w:val="white"/>
              </w:rPr>
            </w:pPr>
            <w:r w:rsidDel="00000000" w:rsidR="00000000" w:rsidRPr="00000000">
              <w:rPr>
                <w:sz w:val="24"/>
                <w:szCs w:val="24"/>
                <w:highlight w:val="white"/>
                <w:rtl w:val="0"/>
              </w:rPr>
              <w:t xml:space="preserve">$29,544.85</w:t>
            </w:r>
            <w:r w:rsidDel="00000000" w:rsidR="00000000" w:rsidRPr="00000000">
              <w:rPr>
                <w:rtl w:val="0"/>
              </w:rPr>
            </w:r>
          </w:p>
        </w:tc>
      </w:tr>
    </w:tbl>
    <w:p w:rsidR="00000000" w:rsidDel="00000000" w:rsidP="00000000" w:rsidRDefault="00000000" w:rsidRPr="00000000" w14:paraId="00000028">
      <w:pPr>
        <w:rPr>
          <w:vertAlign w:val="baseline"/>
        </w:rPr>
        <w:sectPr>
          <w:pgSz w:h="15840" w:w="12240" w:orient="portrait"/>
          <w:pgMar w:bottom="280" w:top="920" w:left="1160" w:right="1160" w:header="720" w:footer="720"/>
          <w:pgNumType w:start="1"/>
        </w:sect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6" w:lineRule="auto"/>
        <w:ind w:left="0" w:right="4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funds are to be expended in the manner outlined in the funding proposal submitted by the author(s) by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SFAC award funding will be provided on a reimbursement basis.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requirements include:</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All expenditures must be posted to the fund source provided (19900, 19986, 20000</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20360).</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Funds will be transferred based on actual expenses up to the approved amount.</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3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funds are expended, please contact Director Denise Ilarina with the Student Affairs and Success Division to request reimbursement. Denise may be contacted at</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dtoni@ucsc.edu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15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 up documentation is required in order to be reimbursed. </w:t>
      </w:r>
      <w:r w:rsidDel="00000000" w:rsidR="00000000" w:rsidRPr="00000000">
        <w:rPr>
          <w:sz w:val="24"/>
          <w:szCs w:val="24"/>
          <w:rtl w:val="0"/>
        </w:rPr>
        <w:t xml:space="preserve">Please submit the following documentation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opy of this award letter</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Completed </w:t>
      </w:r>
      <w:hyperlink r:id="rId7">
        <w:r w:rsidDel="00000000" w:rsidR="00000000" w:rsidRPr="00000000">
          <w:rPr>
            <w:color w:val="1155cc"/>
            <w:sz w:val="24"/>
            <w:szCs w:val="24"/>
            <w:u w:val="single"/>
            <w:rtl w:val="0"/>
          </w:rPr>
          <w:t xml:space="preserve">reimbursement template</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Copy of ledgers reflecting expenditures</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89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Final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Deadline for reimbursement is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unspent funds will remain with the SFAC for future allocation.</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groups that require funding to be released in advance of an event in order for that event to be approved, should contact me directly to coordinate the transfer of funds.</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sz w:val="24"/>
          <w:szCs w:val="24"/>
          <w:u w:val="none"/>
        </w:rPr>
      </w:pPr>
      <w:r w:rsidDel="00000000" w:rsidR="00000000" w:rsidRPr="00000000">
        <w:rPr>
          <w:sz w:val="24"/>
          <w:szCs w:val="24"/>
          <w:rtl w:val="0"/>
        </w:rPr>
        <w:t xml:space="preserve">More resources for awardees can be referenced on SFAC’s </w:t>
      </w:r>
      <w:hyperlink r:id="rId8">
        <w:r w:rsidDel="00000000" w:rsidR="00000000" w:rsidRPr="00000000">
          <w:rPr>
            <w:color w:val="1155cc"/>
            <w:sz w:val="24"/>
            <w:szCs w:val="24"/>
            <w:u w:val="single"/>
            <w:rtl w:val="0"/>
          </w:rPr>
          <w:t xml:space="preserve">website</w:t>
        </w:r>
      </w:hyperlink>
      <w:r w:rsidDel="00000000" w:rsidR="00000000" w:rsidRPr="00000000">
        <w:rPr>
          <w:sz w:val="24"/>
          <w:szCs w:val="24"/>
          <w:rtl w:val="0"/>
        </w:rPr>
        <w:t xml:space="preserv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or your staff has questions about your allocation or reimbursement process, please do not hesitate to contact me at extension 9-1676 or via email at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larojas@ucsc.edu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76" w:lineRule="auto"/>
        <w:ind w:left="1947" w:right="26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r w:rsidDel="00000000" w:rsidR="00000000" w:rsidRPr="00000000">
        <w:drawing>
          <wp:anchor allowOverlap="1" behindDoc="0" distB="0" distT="0" distL="0" distR="0" hidden="0" layoutInCell="1" locked="0" relativeHeight="0" simplePos="0">
            <wp:simplePos x="0" y="0"/>
            <wp:positionH relativeFrom="column">
              <wp:posOffset>3417823</wp:posOffset>
            </wp:positionH>
            <wp:positionV relativeFrom="paragraph">
              <wp:posOffset>354513</wp:posOffset>
            </wp:positionV>
            <wp:extent cx="1342192" cy="450913"/>
            <wp:effectExtent b="0" l="0" r="0" t="0"/>
            <wp:wrapTopAndBottom distB="0" dist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342192" cy="450913"/>
                    </a:xfrm>
                    <a:prstGeom prst="rect"/>
                    <a:ln/>
                  </pic:spPr>
                </pic:pic>
              </a:graphicData>
            </a:graphic>
          </wp:anchor>
        </w:drawing>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Lucy A. Rojas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Vice Chancellor &amp; Chief of Staff</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3"/>
          <w:szCs w:val="23"/>
          <w:highlight w:val="whit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w:t>
        <w:tab/>
      </w:r>
      <w:r w:rsidDel="00000000" w:rsidR="00000000" w:rsidRPr="00000000">
        <w:rPr>
          <w:sz w:val="23"/>
          <w:szCs w:val="23"/>
          <w:highlight w:val="white"/>
          <w:rtl w:val="0"/>
        </w:rPr>
        <w:t xml:space="preserve">Elena Losada</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3"/>
          <w:szCs w:val="23"/>
          <w:highlight w:val="white"/>
        </w:rPr>
      </w:pPr>
      <w:r w:rsidDel="00000000" w:rsidR="00000000" w:rsidRPr="00000000">
        <w:rPr>
          <w:sz w:val="23"/>
          <w:szCs w:val="23"/>
          <w:highlight w:val="white"/>
          <w:rtl w:val="0"/>
        </w:rPr>
        <w:tab/>
        <w:t xml:space="preserve">Dave Shaw</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3"/>
          <w:szCs w:val="23"/>
          <w:highlight w:val="white"/>
        </w:rPr>
      </w:pPr>
      <w:r w:rsidDel="00000000" w:rsidR="00000000" w:rsidRPr="00000000">
        <w:rPr>
          <w:sz w:val="23"/>
          <w:szCs w:val="23"/>
          <w:highlight w:val="white"/>
          <w:rtl w:val="0"/>
        </w:rPr>
        <w:tab/>
        <w:t xml:space="preserve">Fatima Hernandez Alatorre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3"/>
          <w:szCs w:val="23"/>
          <w:highlight w:val="white"/>
        </w:rPr>
      </w:pPr>
      <w:r w:rsidDel="00000000" w:rsidR="00000000" w:rsidRPr="00000000">
        <w:rPr>
          <w:sz w:val="23"/>
          <w:szCs w:val="23"/>
          <w:highlight w:val="white"/>
          <w:rtl w:val="0"/>
        </w:rPr>
        <w:tab/>
        <w:t xml:space="preserve">Megan Deevy</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4"/>
          <w:szCs w:val="24"/>
        </w:rPr>
      </w:pPr>
      <w:r w:rsidDel="00000000" w:rsidR="00000000" w:rsidRPr="00000000">
        <w:rPr>
          <w:sz w:val="23"/>
          <w:szCs w:val="23"/>
          <w:highlight w:val="white"/>
          <w:rtl w:val="0"/>
        </w:rPr>
        <w:tab/>
        <w:t xml:space="preserve">Benjamin Scheer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3"/>
          <w:szCs w:val="23"/>
          <w:highlight w:val="white"/>
        </w:rPr>
      </w:pPr>
      <w:r w:rsidDel="00000000" w:rsidR="00000000" w:rsidRPr="00000000">
        <w:rPr>
          <w:sz w:val="24"/>
          <w:szCs w:val="24"/>
          <w:rtl w:val="0"/>
        </w:rPr>
        <w:tab/>
      </w:r>
      <w:r w:rsidDel="00000000" w:rsidR="00000000" w:rsidRPr="00000000">
        <w:rPr>
          <w:sz w:val="23"/>
          <w:szCs w:val="23"/>
          <w:highlight w:val="white"/>
          <w:rtl w:val="0"/>
        </w:rPr>
        <w:t xml:space="preserve">Sage Hirsch</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3"/>
          <w:szCs w:val="23"/>
          <w:highlight w:val="white"/>
        </w:rPr>
      </w:pPr>
      <w:r w:rsidDel="00000000" w:rsidR="00000000" w:rsidRPr="00000000">
        <w:rPr>
          <w:sz w:val="23"/>
          <w:szCs w:val="23"/>
          <w:highlight w:val="white"/>
          <w:rtl w:val="0"/>
        </w:rPr>
        <w:tab/>
        <w:t xml:space="preserve">Nessa Fakrai</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3"/>
          <w:szCs w:val="23"/>
          <w:highlight w:val="white"/>
        </w:rPr>
      </w:pPr>
      <w:r w:rsidDel="00000000" w:rsidR="00000000" w:rsidRPr="00000000">
        <w:rPr>
          <w:sz w:val="23"/>
          <w:szCs w:val="23"/>
          <w:highlight w:val="white"/>
          <w:rtl w:val="0"/>
        </w:rPr>
        <w:tab/>
        <w:t xml:space="preserve">Vivian Gerstein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3"/>
          <w:szCs w:val="23"/>
          <w:highlight w:val="white"/>
        </w:rPr>
      </w:pPr>
      <w:r w:rsidDel="00000000" w:rsidR="00000000" w:rsidRPr="00000000">
        <w:rPr>
          <w:sz w:val="23"/>
          <w:szCs w:val="23"/>
          <w:highlight w:val="white"/>
          <w:rtl w:val="0"/>
        </w:rPr>
        <w:tab/>
        <w:t xml:space="preserve">Kimberly Chamlin</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Denise Ilarina</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00" w:right="58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SFAC</w:t>
      </w:r>
    </w:p>
    <w:sectPr>
      <w:type w:val="nextPage"/>
      <w:pgSz w:h="15840" w:w="12240" w:orient="portrait"/>
      <w:pgMar w:bottom="280" w:top="1200" w:left="1160" w:right="11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0" w:hanging="360"/>
      </w:pPr>
      <w:rPr>
        <w:rFonts w:ascii="Arial" w:cs="Arial" w:eastAsia="Arial" w:hAnsi="Arial"/>
        <w:sz w:val="24"/>
        <w:szCs w:val="24"/>
      </w:rPr>
    </w:lvl>
    <w:lvl w:ilvl="1">
      <w:start w:val="1"/>
      <w:numFmt w:val="bullet"/>
      <w:lvlText w:val="○"/>
      <w:lvlJc w:val="left"/>
      <w:pPr>
        <w:ind w:left="1720" w:hanging="360"/>
      </w:pPr>
      <w:rPr>
        <w:rFonts w:ascii="Arial" w:cs="Arial" w:eastAsia="Arial" w:hAnsi="Arial"/>
        <w:sz w:val="24"/>
        <w:szCs w:val="24"/>
      </w:rPr>
    </w:lvl>
    <w:lvl w:ilvl="2">
      <w:start w:val="1"/>
      <w:numFmt w:val="bullet"/>
      <w:lvlText w:val="•"/>
      <w:lvlJc w:val="left"/>
      <w:pPr>
        <w:ind w:left="2631" w:hanging="360"/>
      </w:pPr>
      <w:rPr/>
    </w:lvl>
    <w:lvl w:ilvl="3">
      <w:start w:val="1"/>
      <w:numFmt w:val="bullet"/>
      <w:lvlText w:val="•"/>
      <w:lvlJc w:val="left"/>
      <w:pPr>
        <w:ind w:left="3542" w:hanging="360"/>
      </w:pPr>
      <w:rPr/>
    </w:lvl>
    <w:lvl w:ilvl="4">
      <w:start w:val="1"/>
      <w:numFmt w:val="bullet"/>
      <w:lvlText w:val="•"/>
      <w:lvlJc w:val="left"/>
      <w:pPr>
        <w:ind w:left="4453" w:hanging="360"/>
      </w:pPr>
      <w:rPr/>
    </w:lvl>
    <w:lvl w:ilvl="5">
      <w:start w:val="1"/>
      <w:numFmt w:val="bullet"/>
      <w:lvlText w:val="•"/>
      <w:lvlJc w:val="left"/>
      <w:pPr>
        <w:ind w:left="5364" w:hanging="360"/>
      </w:pPr>
      <w:rPr/>
    </w:lvl>
    <w:lvl w:ilvl="6">
      <w:start w:val="1"/>
      <w:numFmt w:val="bullet"/>
      <w:lvlText w:val="•"/>
      <w:lvlJc w:val="left"/>
      <w:pPr>
        <w:ind w:left="6275" w:hanging="360"/>
      </w:pPr>
      <w:rPr/>
    </w:lvl>
    <w:lvl w:ilvl="7">
      <w:start w:val="1"/>
      <w:numFmt w:val="bullet"/>
      <w:lvlText w:val="•"/>
      <w:lvlJc w:val="left"/>
      <w:pPr>
        <w:ind w:left="7186" w:hanging="360"/>
      </w:pPr>
      <w:rPr/>
    </w:lvl>
    <w:lvl w:ilvl="8">
      <w:start w:val="1"/>
      <w:numFmt w:val="bullet"/>
      <w:lvlText w:val="•"/>
      <w:lvlJc w:val="left"/>
      <w:pPr>
        <w:ind w:left="8097"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mailto:larojas@ucsc.edu" TargetMode="External"/><Relationship Id="rId5" Type="http://schemas.openxmlformats.org/officeDocument/2006/relationships/styles" Target="styles.xml"/><Relationship Id="rId6" Type="http://schemas.openxmlformats.org/officeDocument/2006/relationships/hyperlink" Target="mailto:dtoni@ucsc.edu" TargetMode="External"/><Relationship Id="rId7" Type="http://schemas.openxmlformats.org/officeDocument/2006/relationships/hyperlink" Target="https://docs.google.com/spreadsheets/d/1BlUBbXSPiZZuyCAiT0AzVs98p9kSw7KKezqYil1vEl8/edit?usp=sharing" TargetMode="External"/><Relationship Id="rId8" Type="http://schemas.openxmlformats.org/officeDocument/2006/relationships/hyperlink" Target="https://sfac.ucsc.edu/funding-requests/resources-for-awarde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