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30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300" w:firstLine="0"/>
        <w:jc w:val="left"/>
        <w:rPr>
          <w:sz w:val="24"/>
          <w:szCs w:val="24"/>
        </w:rPr>
      </w:pPr>
      <w:r w:rsidDel="00000000" w:rsidR="00000000" w:rsidRPr="00000000">
        <w:rPr>
          <w:sz w:val="24"/>
          <w:szCs w:val="24"/>
          <w:rtl w:val="0"/>
        </w:rPr>
        <w:t xml:space="preserve">   Garrett Naiman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Associate Vice Chancellor and Dean of Students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Student Development and Engagement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300" w:firstLine="0"/>
        <w:jc w:val="left"/>
        <w:rPr>
          <w:sz w:val="24"/>
          <w:szCs w:val="24"/>
        </w:rPr>
      </w:pPr>
      <w:r w:rsidDel="00000000" w:rsidR="00000000" w:rsidRPr="00000000">
        <w:rPr>
          <w:rtl w:val="0"/>
        </w:rPr>
      </w:r>
    </w:p>
    <w:p w:rsidR="00000000" w:rsidDel="00000000" w:rsidP="00000000" w:rsidRDefault="00000000" w:rsidRPr="00000000" w14:paraId="0000000B">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 (Updated)</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0" w:right="300" w:firstLine="0"/>
        <w:jc w:val="left"/>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Garrett,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85"/>
        <w:gridCol w:w="1680"/>
        <w:gridCol w:w="1635"/>
        <w:gridCol w:w="2505"/>
        <w:gridCol w:w="990"/>
        <w:gridCol w:w="1380"/>
        <w:tblGridChange w:id="0">
          <w:tblGrid>
            <w:gridCol w:w="1485"/>
            <w:gridCol w:w="1680"/>
            <w:gridCol w:w="1635"/>
            <w:gridCol w:w="2505"/>
            <w:gridCol w:w="990"/>
            <w:gridCol w:w="1380"/>
          </w:tblGrid>
        </w:tblGridChange>
      </w:tblGrid>
      <w:tr>
        <w:trPr>
          <w:cantSplit w:val="0"/>
          <w:trHeight w:val="610" w:hRule="atLeast"/>
          <w:tblHeader w:val="0"/>
        </w:trPr>
        <w:tc>
          <w:tcPr>
            <w:shd w:fill="d9d9d9"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Division/Unit</w:t>
            </w:r>
          </w:p>
        </w:tc>
        <w:tc>
          <w:tcPr>
            <w:tcBorders>
              <w:bottom w:color="000000" w:space="0" w:sz="6" w:val="single"/>
            </w:tcBorders>
            <w:shd w:fill="d9d9d9"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bl>
    <w:p w:rsidR="00000000" w:rsidDel="00000000" w:rsidP="00000000" w:rsidRDefault="00000000" w:rsidRPr="00000000" w14:paraId="00000018">
      <w:pPr>
        <w:rPr/>
      </w:pPr>
      <w:r w:rsidDel="00000000" w:rsidR="00000000" w:rsidRPr="00000000">
        <w:rPr>
          <w:rtl w:val="0"/>
        </w:rPr>
      </w:r>
    </w:p>
    <w:tbl>
      <w:tblPr>
        <w:tblStyle w:val="Table2"/>
        <w:tblW w:w="9645.0" w:type="dxa"/>
        <w:jc w:val="left"/>
        <w:tblInd w:w="1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1650"/>
        <w:gridCol w:w="1695"/>
        <w:gridCol w:w="2490"/>
        <w:gridCol w:w="990"/>
        <w:gridCol w:w="1380"/>
        <w:tblGridChange w:id="0">
          <w:tblGrid>
            <w:gridCol w:w="1440"/>
            <w:gridCol w:w="1650"/>
            <w:gridCol w:w="1695"/>
            <w:gridCol w:w="2490"/>
            <w:gridCol w:w="990"/>
            <w:gridCol w:w="1380"/>
          </w:tblGrid>
        </w:tblGridChange>
      </w:tblGrid>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9">
            <w:pPr>
              <w:spacing w:line="276" w:lineRule="auto"/>
              <w:rPr/>
            </w:pPr>
            <w:r w:rsidDel="00000000" w:rsidR="00000000" w:rsidRPr="00000000">
              <w:rPr>
                <w:rtl w:val="0"/>
              </w:rPr>
              <w:t xml:space="preserve">DSAS / SDE-Dean of Students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A">
            <w:pPr>
              <w:spacing w:line="276" w:lineRule="auto"/>
              <w:rPr/>
            </w:pPr>
            <w:r w:rsidDel="00000000" w:rsidR="00000000" w:rsidRPr="00000000">
              <w:rPr>
                <w:rtl w:val="0"/>
              </w:rPr>
              <w:t xml:space="preserve">SOMeCA</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B">
            <w:pPr>
              <w:spacing w:line="276" w:lineRule="auto"/>
              <w:rPr/>
            </w:pPr>
            <w:r w:rsidDel="00000000" w:rsidR="00000000" w:rsidRPr="00000000">
              <w:rPr>
                <w:rtl w:val="0"/>
              </w:rPr>
              <w:t xml:space="preserve">Sayo Fujioka, Griffin Smith, Amanda Vong, &amp; SOMeCA staff, students, and alumni</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spacing w:line="276" w:lineRule="auto"/>
              <w:rPr/>
            </w:pPr>
            <w:r w:rsidDel="00000000" w:rsidR="00000000" w:rsidRPr="00000000">
              <w:rPr>
                <w:rtl w:val="0"/>
              </w:rPr>
              <w:t xml:space="preserve">SOMeCA: Peer-to-Peer Program (1 year of student wages)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spacing w:line="276" w:lineRule="auto"/>
              <w:jc w:val="center"/>
              <w:rPr/>
            </w:pPr>
            <w:r w:rsidDel="00000000" w:rsidR="00000000" w:rsidRPr="00000000">
              <w:rPr>
                <w:rtl w:val="0"/>
              </w:rPr>
              <w:t xml:space="preserve">20360 (M7)</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spacing w:line="276" w:lineRule="auto"/>
              <w:jc w:val="right"/>
              <w:rPr/>
            </w:pPr>
            <w:r w:rsidDel="00000000" w:rsidR="00000000" w:rsidRPr="00000000">
              <w:rPr>
                <w:rtl w:val="0"/>
              </w:rPr>
              <w:t xml:space="preserve">$</w:t>
            </w:r>
            <w:r w:rsidDel="00000000" w:rsidR="00000000" w:rsidRPr="00000000">
              <w:rPr>
                <w:rFonts w:ascii="Arial" w:cs="Arial" w:eastAsia="Arial" w:hAnsi="Arial"/>
                <w:color w:val="222222"/>
                <w:highlight w:val="white"/>
                <w:rtl w:val="0"/>
              </w:rPr>
              <w:t xml:space="preserve">11,233.85</w:t>
            </w:r>
            <w:r w:rsidDel="00000000" w:rsidR="00000000" w:rsidRPr="00000000">
              <w:rPr>
                <w:rtl w:val="0"/>
              </w:rPr>
            </w:r>
          </w:p>
        </w:tc>
      </w:tr>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F">
            <w:pPr>
              <w:spacing w:line="276" w:lineRule="auto"/>
              <w:rPr/>
            </w:pPr>
            <w:r w:rsidDel="00000000" w:rsidR="00000000" w:rsidRPr="00000000">
              <w:rPr>
                <w:rtl w:val="0"/>
              </w:rPr>
              <w:t xml:space="preserve">DSAS / SDE-Dean of Students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spacing w:line="276" w:lineRule="auto"/>
              <w:rPr/>
            </w:pPr>
            <w:r w:rsidDel="00000000" w:rsidR="00000000" w:rsidRPr="00000000">
              <w:rPr>
                <w:rtl w:val="0"/>
              </w:rPr>
              <w:t xml:space="preserve">Slug Support/ Dean of Students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1">
            <w:pPr>
              <w:spacing w:line="276" w:lineRule="auto"/>
              <w:rPr/>
            </w:pPr>
            <w:r w:rsidDel="00000000" w:rsidR="00000000" w:rsidRPr="00000000">
              <w:rPr>
                <w:rtl w:val="0"/>
              </w:rPr>
              <w:t xml:space="preserve">Mariah Lyons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spacing w:line="276" w:lineRule="auto"/>
              <w:rPr/>
            </w:pPr>
            <w:r w:rsidDel="00000000" w:rsidR="00000000" w:rsidRPr="00000000">
              <w:rPr>
                <w:rtl w:val="0"/>
              </w:rPr>
              <w:t xml:space="preserve">Slug Support Emergency</w:t>
            </w:r>
          </w:p>
          <w:p w:rsidR="00000000" w:rsidDel="00000000" w:rsidP="00000000" w:rsidRDefault="00000000" w:rsidRPr="00000000" w14:paraId="00000023">
            <w:pPr>
              <w:spacing w:line="276" w:lineRule="auto"/>
              <w:rPr/>
            </w:pPr>
            <w:r w:rsidDel="00000000" w:rsidR="00000000" w:rsidRPr="00000000">
              <w:rPr>
                <w:rtl w:val="0"/>
              </w:rPr>
              <w:t xml:space="preserve">Fund (at the department's</w:t>
            </w:r>
          </w:p>
          <w:p w:rsidR="00000000" w:rsidDel="00000000" w:rsidP="00000000" w:rsidRDefault="00000000" w:rsidRPr="00000000" w14:paraId="00000024">
            <w:pPr>
              <w:spacing w:line="276" w:lineRule="auto"/>
              <w:rPr/>
            </w:pPr>
            <w:r w:rsidDel="00000000" w:rsidR="00000000" w:rsidRPr="00000000">
              <w:rPr>
                <w:rtl w:val="0"/>
              </w:rPr>
              <w:t xml:space="preserve">discretion)</w:t>
            </w:r>
          </w:p>
          <w:p w:rsidR="00000000" w:rsidDel="00000000" w:rsidP="00000000" w:rsidRDefault="00000000" w:rsidRPr="00000000" w14:paraId="00000025">
            <w:pPr>
              <w:spacing w:line="276" w:lineRule="auto"/>
              <w:rPr/>
            </w:pPr>
            <w:r w:rsidDel="00000000" w:rsidR="00000000" w:rsidRPr="00000000">
              <w:rPr>
                <w:rtl w:val="0"/>
              </w:rPr>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spacing w:line="276" w:lineRule="auto"/>
              <w:jc w:val="center"/>
              <w:rPr/>
            </w:pPr>
            <w:r w:rsidDel="00000000" w:rsidR="00000000" w:rsidRPr="00000000">
              <w:rPr>
                <w:rtl w:val="0"/>
              </w:rPr>
              <w:t xml:space="preserve">20360</w:t>
            </w:r>
          </w:p>
          <w:p w:rsidR="00000000" w:rsidDel="00000000" w:rsidP="00000000" w:rsidRDefault="00000000" w:rsidRPr="00000000" w14:paraId="00000027">
            <w:pPr>
              <w:spacing w:line="276" w:lineRule="auto"/>
              <w:jc w:val="center"/>
              <w:rPr/>
            </w:pPr>
            <w:r w:rsidDel="00000000" w:rsidR="00000000" w:rsidRPr="00000000">
              <w:rPr>
                <w:rtl w:val="0"/>
              </w:rPr>
              <w:t xml:space="preserve">(M7)</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spacing w:line="276" w:lineRule="auto"/>
              <w:jc w:val="right"/>
              <w:rPr/>
            </w:pPr>
            <w:r w:rsidDel="00000000" w:rsidR="00000000" w:rsidRPr="00000000">
              <w:rPr>
                <w:rtl w:val="0"/>
              </w:rPr>
              <w:t xml:space="preserve">$40,269.15</w:t>
            </w:r>
          </w:p>
        </w:tc>
      </w:tr>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spacing w:line="276" w:lineRule="auto"/>
              <w:rPr/>
            </w:pPr>
            <w:r w:rsidDel="00000000" w:rsidR="00000000" w:rsidRPr="00000000">
              <w:rPr>
                <w:rtl w:val="0"/>
              </w:rPr>
              <w:t xml:space="preserve">DSAS / SDE-Dean of Students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spacing w:line="276" w:lineRule="auto"/>
              <w:rPr/>
            </w:pPr>
            <w:r w:rsidDel="00000000" w:rsidR="00000000" w:rsidRPr="00000000">
              <w:rPr>
                <w:rtl w:val="0"/>
              </w:rPr>
              <w:t xml:space="preserve">Quarry Amphitheater</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B">
            <w:pPr>
              <w:spacing w:line="276" w:lineRule="auto"/>
              <w:rPr/>
            </w:pPr>
            <w:r w:rsidDel="00000000" w:rsidR="00000000" w:rsidRPr="00000000">
              <w:rPr>
                <w:rtl w:val="0"/>
              </w:rPr>
              <w:t xml:space="preserve">Jose Reyes-Olivas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spacing w:line="276" w:lineRule="auto"/>
              <w:rPr/>
            </w:pPr>
            <w:r w:rsidDel="00000000" w:rsidR="00000000" w:rsidRPr="00000000">
              <w:rPr>
                <w:rtl w:val="0"/>
              </w:rPr>
              <w:t xml:space="preserve">Shut Up and Dance Silent</w:t>
            </w:r>
          </w:p>
          <w:p w:rsidR="00000000" w:rsidDel="00000000" w:rsidP="00000000" w:rsidRDefault="00000000" w:rsidRPr="00000000" w14:paraId="0000002D">
            <w:pPr>
              <w:spacing w:line="276" w:lineRule="auto"/>
              <w:rPr/>
            </w:pPr>
            <w:r w:rsidDel="00000000" w:rsidR="00000000" w:rsidRPr="00000000">
              <w:rPr>
                <w:rtl w:val="0"/>
              </w:rPr>
              <w:t xml:space="preserve">Disco (for supplies)</w:t>
            </w:r>
          </w:p>
          <w:p w:rsidR="00000000" w:rsidDel="00000000" w:rsidP="00000000" w:rsidRDefault="00000000" w:rsidRPr="00000000" w14:paraId="0000002E">
            <w:pPr>
              <w:spacing w:line="276" w:lineRule="auto"/>
              <w:rPr/>
            </w:pPr>
            <w:r w:rsidDel="00000000" w:rsidR="00000000" w:rsidRPr="00000000">
              <w:rPr>
                <w:rtl w:val="0"/>
              </w:rPr>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spacing w:line="276" w:lineRule="auto"/>
              <w:jc w:val="center"/>
              <w:rPr/>
            </w:pPr>
            <w:r w:rsidDel="00000000" w:rsidR="00000000" w:rsidRPr="00000000">
              <w:rPr>
                <w:rtl w:val="0"/>
              </w:rPr>
              <w:t xml:space="preserve">20360 (M7)</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spacing w:line="276" w:lineRule="auto"/>
              <w:jc w:val="right"/>
              <w:rPr/>
            </w:pPr>
            <w:r w:rsidDel="00000000" w:rsidR="00000000" w:rsidRPr="00000000">
              <w:rPr>
                <w:rtl w:val="0"/>
              </w:rPr>
              <w:t xml:space="preserve">$6,005.85</w:t>
            </w:r>
          </w:p>
        </w:tc>
      </w:tr>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spacing w:line="276" w:lineRule="auto"/>
              <w:rPr/>
            </w:pPr>
            <w:r w:rsidDel="00000000" w:rsidR="00000000" w:rsidRPr="00000000">
              <w:rPr>
                <w:rtl w:val="0"/>
              </w:rPr>
              <w:t xml:space="preserve">DSAS / SDE-Dean of Students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spacing w:line="276" w:lineRule="auto"/>
              <w:rPr/>
            </w:pPr>
            <w:r w:rsidDel="00000000" w:rsidR="00000000" w:rsidRPr="00000000">
              <w:rPr>
                <w:rtl w:val="0"/>
              </w:rPr>
              <w:t xml:space="preserve">KZSC Radio</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spacing w:line="276" w:lineRule="auto"/>
              <w:rPr/>
            </w:pPr>
            <w:r w:rsidDel="00000000" w:rsidR="00000000" w:rsidRPr="00000000">
              <w:rPr>
                <w:rtl w:val="0"/>
              </w:rPr>
              <w:t xml:space="preserve">Shavit Melamed,</w:t>
            </w:r>
          </w:p>
          <w:p w:rsidR="00000000" w:rsidDel="00000000" w:rsidP="00000000" w:rsidRDefault="00000000" w:rsidRPr="00000000" w14:paraId="00000034">
            <w:pPr>
              <w:spacing w:line="276" w:lineRule="auto"/>
              <w:rPr/>
            </w:pPr>
            <w:r w:rsidDel="00000000" w:rsidR="00000000" w:rsidRPr="00000000">
              <w:rPr>
                <w:rtl w:val="0"/>
              </w:rPr>
              <w:t xml:space="preserve">Richard H.</w:t>
            </w:r>
          </w:p>
          <w:p w:rsidR="00000000" w:rsidDel="00000000" w:rsidP="00000000" w:rsidRDefault="00000000" w:rsidRPr="00000000" w14:paraId="00000035">
            <w:pPr>
              <w:spacing w:line="276" w:lineRule="auto"/>
              <w:rPr/>
            </w:pPr>
            <w:r w:rsidDel="00000000" w:rsidR="00000000" w:rsidRPr="00000000">
              <w:rPr>
                <w:rtl w:val="0"/>
              </w:rPr>
              <w:t xml:space="preserve">Baldwin, Luisa</w:t>
            </w:r>
          </w:p>
          <w:p w:rsidR="00000000" w:rsidDel="00000000" w:rsidP="00000000" w:rsidRDefault="00000000" w:rsidRPr="00000000" w14:paraId="00000036">
            <w:pPr>
              <w:spacing w:line="276" w:lineRule="auto"/>
              <w:rPr/>
            </w:pPr>
            <w:r w:rsidDel="00000000" w:rsidR="00000000" w:rsidRPr="00000000">
              <w:rPr>
                <w:rtl w:val="0"/>
              </w:rPr>
              <w:t xml:space="preserve">Cardoza</w:t>
            </w:r>
          </w:p>
          <w:p w:rsidR="00000000" w:rsidDel="00000000" w:rsidP="00000000" w:rsidRDefault="00000000" w:rsidRPr="00000000" w14:paraId="00000037">
            <w:pPr>
              <w:spacing w:line="276" w:lineRule="auto"/>
              <w:rPr/>
            </w:pPr>
            <w:r w:rsidDel="00000000" w:rsidR="00000000" w:rsidRPr="00000000">
              <w:rPr>
                <w:rtl w:val="0"/>
              </w:rPr>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spacing w:line="276" w:lineRule="auto"/>
              <w:rPr/>
            </w:pPr>
            <w:r w:rsidDel="00000000" w:rsidR="00000000" w:rsidRPr="00000000">
              <w:rPr>
                <w:rtl w:val="0"/>
              </w:rPr>
              <w:t xml:space="preserve">A Proposal to Allocate the</w:t>
            </w:r>
          </w:p>
          <w:p w:rsidR="00000000" w:rsidDel="00000000" w:rsidP="00000000" w:rsidRDefault="00000000" w:rsidRPr="00000000" w14:paraId="00000039">
            <w:pPr>
              <w:spacing w:line="276" w:lineRule="auto"/>
              <w:rPr/>
            </w:pPr>
            <w:r w:rsidDel="00000000" w:rsidR="00000000" w:rsidRPr="00000000">
              <w:rPr>
                <w:rtl w:val="0"/>
              </w:rPr>
              <w:t xml:space="preserve">Student Services Fee and</w:t>
            </w:r>
          </w:p>
          <w:p w:rsidR="00000000" w:rsidDel="00000000" w:rsidP="00000000" w:rsidRDefault="00000000" w:rsidRPr="00000000" w14:paraId="0000003A">
            <w:pPr>
              <w:spacing w:line="276" w:lineRule="auto"/>
              <w:rPr/>
            </w:pPr>
            <w:r w:rsidDel="00000000" w:rsidR="00000000" w:rsidRPr="00000000">
              <w:rPr>
                <w:rtl w:val="0"/>
              </w:rPr>
              <w:t xml:space="preserve">Measure 7 Fee to Support</w:t>
            </w:r>
          </w:p>
          <w:p w:rsidR="00000000" w:rsidDel="00000000" w:rsidP="00000000" w:rsidRDefault="00000000" w:rsidRPr="00000000" w14:paraId="0000003B">
            <w:pPr>
              <w:spacing w:line="276" w:lineRule="auto"/>
              <w:rPr/>
            </w:pPr>
            <w:r w:rsidDel="00000000" w:rsidR="00000000" w:rsidRPr="00000000">
              <w:rPr>
                <w:rtl w:val="0"/>
              </w:rPr>
              <w:t xml:space="preserve">Student Leadership</w:t>
            </w:r>
          </w:p>
          <w:p w:rsidR="00000000" w:rsidDel="00000000" w:rsidP="00000000" w:rsidRDefault="00000000" w:rsidRPr="00000000" w14:paraId="0000003C">
            <w:pPr>
              <w:spacing w:line="276" w:lineRule="auto"/>
              <w:rPr/>
            </w:pPr>
            <w:r w:rsidDel="00000000" w:rsidR="00000000" w:rsidRPr="00000000">
              <w:rPr>
                <w:rtl w:val="0"/>
              </w:rPr>
              <w:t xml:space="preserve">Positions at KZSC Radio</w:t>
            </w:r>
          </w:p>
          <w:p w:rsidR="00000000" w:rsidDel="00000000" w:rsidP="00000000" w:rsidRDefault="00000000" w:rsidRPr="00000000" w14:paraId="0000003D">
            <w:pPr>
              <w:spacing w:line="276" w:lineRule="auto"/>
              <w:rPr/>
            </w:pPr>
            <w:r w:rsidDel="00000000" w:rsidR="00000000" w:rsidRPr="00000000">
              <w:rPr>
                <w:rtl w:val="0"/>
              </w:rPr>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spacing w:line="276" w:lineRule="auto"/>
              <w:jc w:val="center"/>
              <w:rPr/>
            </w:pPr>
            <w:r w:rsidDel="00000000" w:rsidR="00000000" w:rsidRPr="00000000">
              <w:rPr>
                <w:rtl w:val="0"/>
              </w:rPr>
              <w:t xml:space="preserve">20360</w:t>
            </w:r>
          </w:p>
          <w:p w:rsidR="00000000" w:rsidDel="00000000" w:rsidP="00000000" w:rsidRDefault="00000000" w:rsidRPr="00000000" w14:paraId="0000003F">
            <w:pPr>
              <w:spacing w:line="276" w:lineRule="auto"/>
              <w:jc w:val="center"/>
              <w:rPr/>
            </w:pPr>
            <w:r w:rsidDel="00000000" w:rsidR="00000000" w:rsidRPr="00000000">
              <w:rPr>
                <w:rtl w:val="0"/>
              </w:rPr>
              <w:t xml:space="preserve">(M7)</w:t>
            </w:r>
          </w:p>
          <w:p w:rsidR="00000000" w:rsidDel="00000000" w:rsidP="00000000" w:rsidRDefault="00000000" w:rsidRPr="00000000" w14:paraId="00000040">
            <w:pPr>
              <w:spacing w:line="276" w:lineRule="auto"/>
              <w:jc w:val="center"/>
              <w:rPr/>
            </w:pPr>
            <w:r w:rsidDel="00000000" w:rsidR="00000000" w:rsidRPr="00000000">
              <w:rPr>
                <w:rtl w:val="0"/>
              </w:rPr>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spacing w:line="276" w:lineRule="auto"/>
              <w:jc w:val="center"/>
              <w:rPr/>
            </w:pPr>
            <w:r w:rsidDel="00000000" w:rsidR="00000000" w:rsidRPr="00000000">
              <w:rPr>
                <w:rtl w:val="0"/>
              </w:rPr>
              <w:t xml:space="preserve">$25,865.85</w:t>
            </w:r>
          </w:p>
        </w:tc>
      </w:tr>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spacing w:line="276" w:lineRule="auto"/>
              <w:rPr/>
            </w:pPr>
            <w:r w:rsidDel="00000000" w:rsidR="00000000" w:rsidRPr="00000000">
              <w:rPr>
                <w:rtl w:val="0"/>
              </w:rPr>
              <w:t xml:space="preserve">DSAS / SDE-Dean of Students</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spacing w:line="276" w:lineRule="auto"/>
              <w:rPr/>
            </w:pPr>
            <w:r w:rsidDel="00000000" w:rsidR="00000000" w:rsidRPr="00000000">
              <w:rPr>
                <w:rtl w:val="0"/>
              </w:rPr>
              <w:t xml:space="preserve">SUA Advocates Office</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spacing w:line="276" w:lineRule="auto"/>
              <w:rPr/>
            </w:pPr>
            <w:r w:rsidDel="00000000" w:rsidR="00000000" w:rsidRPr="00000000">
              <w:rPr>
                <w:rtl w:val="0"/>
              </w:rPr>
              <w:t xml:space="preserve">Amalia Bostian</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spacing w:line="276" w:lineRule="auto"/>
              <w:rPr/>
            </w:pPr>
            <w:r w:rsidDel="00000000" w:rsidR="00000000" w:rsidRPr="00000000">
              <w:rPr>
                <w:rtl w:val="0"/>
              </w:rPr>
              <w:t xml:space="preserve">SUA Student Advocates</w:t>
            </w:r>
          </w:p>
          <w:p w:rsidR="00000000" w:rsidDel="00000000" w:rsidP="00000000" w:rsidRDefault="00000000" w:rsidRPr="00000000" w14:paraId="00000046">
            <w:pPr>
              <w:spacing w:line="276" w:lineRule="auto"/>
              <w:rPr/>
            </w:pPr>
            <w:r w:rsidDel="00000000" w:rsidR="00000000" w:rsidRPr="00000000">
              <w:rPr>
                <w:rtl w:val="0"/>
              </w:rPr>
              <w:t xml:space="preserve">Office</w:t>
            </w:r>
          </w:p>
          <w:p w:rsidR="00000000" w:rsidDel="00000000" w:rsidP="00000000" w:rsidRDefault="00000000" w:rsidRPr="00000000" w14:paraId="00000047">
            <w:pPr>
              <w:spacing w:line="276" w:lineRule="auto"/>
              <w:rPr/>
            </w:pPr>
            <w:r w:rsidDel="00000000" w:rsidR="00000000" w:rsidRPr="00000000">
              <w:rPr>
                <w:rtl w:val="0"/>
              </w:rPr>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spacing w:line="276" w:lineRule="auto"/>
              <w:jc w:val="center"/>
              <w:rPr/>
            </w:pPr>
            <w:r w:rsidDel="00000000" w:rsidR="00000000" w:rsidRPr="00000000">
              <w:rPr>
                <w:rtl w:val="0"/>
              </w:rPr>
              <w:t xml:space="preserve">19986 (Equity in Mental Health)</w:t>
            </w:r>
          </w:p>
        </w:tc>
        <w:tc>
          <w:tcPr>
            <w:tcBorders>
              <w:top w:color="000000" w:space="0" w:sz="6" w:val="single"/>
              <w:left w:color="cccccc" w:space="0" w:sz="7"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spacing w:line="276" w:lineRule="auto"/>
              <w:jc w:val="center"/>
              <w:rPr/>
            </w:pPr>
            <w:r w:rsidDel="00000000" w:rsidR="00000000" w:rsidRPr="00000000">
              <w:rPr>
                <w:rtl w:val="0"/>
              </w:rPr>
              <w:t xml:space="preserve">$26,331.28</w:t>
            </w:r>
          </w:p>
        </w:tc>
      </w:tr>
    </w:tbl>
    <w:p w:rsidR="00000000" w:rsidDel="00000000" w:rsidP="00000000" w:rsidRDefault="00000000" w:rsidRPr="00000000" w14:paraId="0000004A">
      <w:pPr>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4"/>
          <w:szCs w:val="24"/>
          <w:rtl w:val="0"/>
        </w:rPr>
        <w:t xml:space="preserve">Sayo Fujioka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Griffin Smith</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Amanda Vong</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Mariah Lyons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Jose Reyes-Olivas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Shavit Melamed</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LC Cardoza</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Richard Baldwin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Amalia Bostian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Adina Negi</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